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wmf" ContentType="image/x-wmf"/>
  <Override PartName="/word/media/image2.wmf" ContentType="image/x-wmf"/>
  <Override PartName="/word/media/image3.wmf" ContentType="image/x-wmf"/>
  <Override PartName="/word/media/image4.wmf" ContentType="image/x-wmf"/>
  <Override PartName="/word/media/image5.wmf" ContentType="image/x-wmf"/>
  <Override PartName="/word/media/image6.wmf" ContentType="image/x-wmf"/>
  <Override PartName="/word/media/image7.wmf" ContentType="image/x-wmf"/>
  <Override PartName="/word/media/image8.wmf" ContentType="image/x-wmf"/>
  <Override PartName="/word/media/image9.wmf" ContentType="image/x-wmf"/>
  <Override PartName="/word/media/image10.wmf" ContentType="image/x-wmf"/>
  <Override PartName="/word/media/image11.wmf" ContentType="image/x-wmf"/>
  <Override PartName="/word/media/image12.wmf" ContentType="image/x-wmf"/>
  <Override PartName="/word/media/image13.wmf" ContentType="image/x-wmf"/>
  <Override PartName="/word/media/image14.wmf" ContentType="image/x-wmf"/>
  <Override PartName="/word/media/image15.wmf" ContentType="image/x-wmf"/>
  <Override PartName="/word/media/image16.png" ContentType="image/png"/>
  <Override PartName="/word/media/image17.wmf" ContentType="image/x-wmf"/>
  <Override PartName="/word/media/image18.tif" ContentType="image/tiff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ytu01"/>
        <w:spacing w:before="240" w:after="120"/>
        <w:rPr>
          <w:color w:themeColor="text2" w:val="1F497D"/>
        </w:rPr>
      </w:pPr>
      <w:r>
        <w:rPr>
          <w:color w:themeColor="text2" w:val="1F497D"/>
        </w:rPr>
        <w:t>Przedmiotowy System Oceniania</w:t>
      </w:r>
    </w:p>
    <w:p>
      <w:pPr>
        <w:pStyle w:val="tytu01"/>
        <w:rPr>
          <w:b w:val="false"/>
          <w:color w:themeColor="text2" w:val="1F497D"/>
        </w:rPr>
      </w:pPr>
      <w:r>
        <w:rPr>
          <w:b w:val="false"/>
          <w:color w:themeColor="text2" w:val="1F497D"/>
        </w:rPr>
        <w:t>Klasa 8</w:t>
      </w:r>
    </w:p>
    <w:p>
      <w:pPr>
        <w:pStyle w:val="ListParagraph"/>
        <w:numPr>
          <w:ilvl w:val="0"/>
          <w:numId w:val="2"/>
        </w:numPr>
        <w:spacing w:before="0" w:after="120"/>
        <w:contextualSpacing/>
        <w:rPr>
          <w:rFonts w:ascii="Calibri" w:hAnsi="Calibri" w:asciiTheme="minorHAnsi" w:hAnsiTheme="minorHAnsi"/>
          <w:b/>
          <w:spacing w:val="-4"/>
          <w:sz w:val="22"/>
          <w:szCs w:val="22"/>
        </w:rPr>
      </w:pPr>
      <w:r>
        <w:rPr>
          <w:rFonts w:ascii="Calibri" w:hAnsi="Calibri" w:asciiTheme="minorHAnsi" w:hAnsiTheme="minorHAnsi"/>
          <w:b/>
          <w:spacing w:val="-4"/>
          <w:sz w:val="22"/>
          <w:szCs w:val="22"/>
        </w:rPr>
        <w:t>Przemiany energii w zjawiskach cieplnych</w:t>
      </w:r>
    </w:p>
    <w:tbl>
      <w:tblPr>
        <w:tblStyle w:val="Tabela-Siatka"/>
        <w:tblW w:w="14384" w:type="dxa"/>
        <w:jc w:val="left"/>
        <w:tblInd w:w="-80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7.1.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Energia wewnętrzna i jej zmiana przez wykonanie pracy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przykłady, w których na skutek wykonania pracy wzrosła energia wewnętrzna ciała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wymienia składniki energii wewnętrznej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wyjaśnia, dlaczego podczas ruchu z tarciem nie jest spełniona zasada zachowania energii mechanicznej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wyjaśnia, dlaczego przyrost temperatury ciała świadczy o wzroście jego energii wewnętrznej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objaśnia różnice między energią mechaniczną i energią wewnętrzną ciała 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7.2.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Cieplny przepływ energii. Rola izolacji cieplnej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bada przewodnictwo cieplne i określa, który z materiałów jest lepszym przewodnikiem ciepła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przykłady przewodników i izolatorów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rolę izolacji cieplnej w życiu codziennym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przepływ ciepła (energii) od ciała o wyższej temperaturze do ciała o niższej temperaturze, następujący przy zetknięciu tych ciał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objaśnia zjawisko przewodzenia ciepła z wykorzystaniem modelu budowy materii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rozpoznaje sytuacje, w których ciała pozostają w równowadze termicznej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formułuje jakościowo pierwszą zasadę termodynamiki 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7.3.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Zjawisko konwekcji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podaje przykłady konwekcji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prezentuje doświadczalnie zjawisko konwekcji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pojęcie ciągu kominowego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zjawisko konwekcji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znaczenie konwekcji w prawidłowej wentylacji mieszkań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uzasadnia, dlaczego w  gazach przepływ energii odbywa się głównie przez konwekcję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60" w:after="60"/>
              <w:jc w:val="left"/>
              <w:rPr>
                <w:rFonts w:ascii="Calibri" w:hAnsi="Calibri" w:asciiTheme="minorHAnsi" w:hAnsiTheme="minorHAnsi"/>
                <w:b w:val="false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7.5.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b w:val="false"/>
                <w:kern w:val="0"/>
                <w:lang w:val="pl-PL" w:bidi="ar-SA"/>
              </w:rPr>
              <w:t>Przemiany energii w zjawiskach topnienia i parowania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zjawiska topnienia, wrzenia i skraplania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 znaczenia w przyrodzie dużej wartości ciepła topnienia lodu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odczytuje z tabeli temperaturę topnienia i ciepło topnienia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odczytuje z tabeli temperaturę wrzenia i ciepło parowania w temperaturze wrzenia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przykłady znaczenia w przyrodzie dużej wartości ciepła parowania wody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zjawisko topnienia (stałość temperatury, zmiany energii wewnętrznej topniejących ciał)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proporcjonalność ilości ciepła potrzebnego do stopienia ciała stałego w temperaturze topnienia do masy tego ciała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analizuje (energetycznie) zjawiska parowania i wrzenia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proporcjonalność ilości ciepła potrzebnego do wyparowania cieczy do masy tej cieczy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wyjaśnia, dlaczego podczas topnienia i krzepnięcia temperatura pozostaje stała mimo zmiany energii wewnętrznej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każdą wielkość ze wzoru </w:t>
            </w:r>
            <w:r>
              <w:rPr>
                <w:kern w:val="0"/>
                <w:lang w:val="pl-PL" w:bidi="ar-SA"/>
              </w:rPr>
              <w:object>
                <v:shapetype id="_x0000_tole_rId2" coordsize="21600,21600" o:spt="ole_rId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" type="_x0000_tole_rId2" style="width:30.85pt;height:13.45pt;mso-wrap-distance-right:0pt" filled="f" o:ole="">
                  <v:imagedata r:id="rId3" o:title=""/>
                </v:shape>
                <o:OLEObject Type="Embed" ProgID="Equation.3" ShapeID="ole_rId2" DrawAspect="Content" ObjectID="_777542486" r:id="rId2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każdą wielkość ze wzoru </w:t>
            </w:r>
            <w:r>
              <w:rPr>
                <w:kern w:val="0"/>
                <w:lang w:val="pl-PL" w:bidi="ar-SA"/>
              </w:rPr>
              <w:object>
                <v:shapetype id="_x0000_tole_rId4" coordsize="21600,21600" o:spt="ole_rId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4" type="_x0000_tole_rId4" style="width:32.45pt;height:15.05pt;mso-wrap-distance-right:0pt" filled="f" o:ole="">
                  <v:imagedata r:id="rId5" o:title=""/>
                </v:shape>
                <o:OLEObject Type="Embed" ProgID="Equation.DSMT4" ShapeID="ole_rId4" DrawAspect="Content" ObjectID="_1015539933" r:id="rId4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(na podstawie wiadomości z klasy 7.) zjawiska sublimacji i resublimacji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na podstawie proporcjonalności </w:t>
            </w:r>
            <w:r>
              <w:rPr>
                <w:kern w:val="0"/>
                <w:lang w:val="pl-PL" w:bidi="ar-SA"/>
              </w:rPr>
              <w:object>
                <v:shapetype id="_x0000_tole_rId6" coordsize="21600,21600" o:spt="ole_rId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6" type="_x0000_tole_rId6" style="width:26.1pt;height:12.65pt;mso-wrap-distance-right:0pt" filled="f" o:ole="">
                  <v:imagedata r:id="rId7" o:title=""/>
                </v:shape>
                <o:OLEObject Type="Embed" ProgID="Equation.DSMT4" ShapeID="ole_rId6" DrawAspect="Content" ObjectID="_1216738853" r:id="rId6"/>
              </w:object>
            </w:r>
            <w:r>
              <w:rPr>
                <w:kern w:val="0"/>
                <w:lang w:val="pl-PL" w:bidi="ar-SA"/>
              </w:rPr>
              <w:t xml:space="preserve">definiuje ciepło topnienia substancji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sens fizyczny ciepła topnienia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na podstawie proporcjonalności </w:t>
            </w:r>
            <w:r>
              <w:rPr>
                <w:kern w:val="0"/>
                <w:lang w:val="pl-PL" w:bidi="ar-SA"/>
              </w:rPr>
              <w:object>
                <v:shapetype id="_x0000_tole_rId8" coordsize="21600,21600" o:spt="ole_rId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8" type="_x0000_tole_rId8" style="width:26.1pt;height:12.65pt;mso-wrap-distance-right:0pt" filled="f" o:ole="">
                  <v:imagedata r:id="rId9" o:title=""/>
                </v:shape>
                <o:OLEObject Type="Embed" ProgID="Equation.DSMT4" ShapeID="ole_rId8" DrawAspect="Content" ObjectID="_1620388102" r:id="rId8"/>
              </w:object>
            </w:r>
            <w:r>
              <w:rPr>
                <w:kern w:val="0"/>
                <w:lang w:val="pl-PL" w:bidi="ar-SA"/>
              </w:rPr>
              <w:t xml:space="preserve"> definiuje ciepło parowania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sens fizyczny ciepła parowania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zasadę działania chłodziarki </w:t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8. Drgania i fale sprężyste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8.1.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Ruch drgający. Przemiany energii mechanicznej w ruchu drgającym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wskazuje w otoczeniu przykłady ciał wykonujących ruch drgający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znaczenie pojęć: położenie równowagi, wychylenie, amplituda, okres, częstotliwość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odczytuje amplitudę i okres z wykresu </w:t>
            </w:r>
            <w:r>
              <w:rPr>
                <w:kern w:val="0"/>
                <w:lang w:val="pl-PL" w:bidi="ar-SA"/>
              </w:rPr>
              <w:object>
                <v:shapetype id="_x0000_tole_rId10" coordsize="21600,21600" o:spt="ole_rId1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0" type="_x0000_tole_rId10" style="width:19pt;height:13.45pt;mso-wrap-distance-right:0pt" filled="f" o:ole="">
                  <v:imagedata r:id="rId11" o:title=""/>
                </v:shape>
                <o:OLEObject Type="Embed" ProgID="Equation.DSMT4" ShapeID="ole_rId10" DrawAspect="Content" ObjectID="_1748408757" r:id="rId10"/>
              </w:object>
            </w:r>
            <w:r>
              <w:rPr>
                <w:kern w:val="0"/>
                <w:lang w:val="pl-PL" w:bidi="ar-SA"/>
              </w:rPr>
              <w:t xml:space="preserve"> dla drgającego ciała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opisuje ruch wahadła i  analizuje przemiany energii mechanicznej w ty</w:t>
            </w:r>
            <w:r>
              <w:rPr>
                <w:kern w:val="0"/>
                <w:lang w:val="pl-PL" w:bidi="ar-SA"/>
              </w:rPr>
              <w:t>m</w:t>
            </w:r>
            <w:r>
              <w:rPr>
                <w:kern w:val="0"/>
                <w:lang w:val="pl-PL" w:bidi="ar-SA"/>
              </w:rPr>
              <w:t xml:space="preserve"> ruch</w:t>
            </w:r>
            <w:r>
              <w:rPr>
                <w:kern w:val="0"/>
                <w:lang w:val="pl-PL" w:bidi="ar-SA"/>
              </w:rPr>
              <w:t>u</w:t>
            </w:r>
            <w:r>
              <w:rPr>
                <w:kern w:val="0"/>
                <w:lang w:val="pl-PL" w:bidi="ar-SA"/>
              </w:rPr>
              <w:t xml:space="preserve">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8.2.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Wahadło. Wyznaczanie okresu i częstotliwości drgań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doświadczalnie wyznacza okres i częstotliwość drgań wahadła lub ciężarka na sprężynie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zjawisko izochronizmu wahadła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8.3.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Fala sprężysta. Wielkości, które opisują falę sprężystą, i związki między nimi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falę poprzeczną i falę podłużną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podaje różnice między falami poprzecznymi i falami podłużnymi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posługuje się pojęciami: długość fali, szybkość rozchodzenia się fali, kierunek rozchodzenia się fali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stosuje wzory </w:t>
            </w:r>
            <w:r>
              <w:rPr>
                <w:kern w:val="0"/>
                <w:lang w:val="pl-PL" w:bidi="ar-SA"/>
              </w:rPr>
              <w:object>
                <v:shapetype id="_x0000_tole_rId12" coordsize="21600,21600" o:spt="ole_rId1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2" type="_x0000_tole_rId12" style="width:29.25pt;height:11.85pt;mso-wrap-distance-right:0pt;mso-wrap-distance-bottom:1pt" filled="f" o:ole="">
                  <v:imagedata r:id="rId13" o:title=""/>
                </v:shape>
                <o:OLEObject Type="Embed" ProgID="Equation.DSMT4" ShapeID="ole_rId12" DrawAspect="Content" ObjectID="_1697325735" r:id="rId12"/>
              </w:object>
            </w:r>
            <w:r>
              <w:rPr>
                <w:kern w:val="0"/>
                <w:lang w:val="pl-PL" w:bidi="ar-SA"/>
              </w:rPr>
              <w:t xml:space="preserve">oraz </w:t>
            </w:r>
            <w:r>
              <w:rPr>
                <w:kern w:val="0"/>
                <w:lang w:val="pl-PL" w:bidi="ar-SA"/>
              </w:rPr>
              <w:object>
                <v:shapetype id="_x0000_tole_rId14" coordsize="21600,21600" o:spt="ole_rId1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4" type="_x0000_tole_rId14" style="width:26.1pt;height:26.1pt;mso-wrap-distance-right:0pt;mso-wrap-distance-bottom:1pt" filled="f" o:ole="">
                  <v:imagedata r:id="rId15" o:title=""/>
                </v:shape>
                <o:OLEObject Type="Embed" ProgID="Equation.DSMT4" ShapeID="ole_rId14" DrawAspect="Content" ObjectID="_1704684681" r:id="rId14"/>
              </w:object>
            </w:r>
            <w:r>
              <w:rPr>
                <w:kern w:val="0"/>
                <w:lang w:val="pl-PL" w:bidi="ar-SA"/>
              </w:rPr>
              <w:t xml:space="preserve"> do obliczeń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mechanizm przekazywania drgań w przypadku fali na napiętej linie i fal dźwiękowych w powietrzu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8.4. Dźwięki i wielkości, które je opisują. Ultradźwięki i infradźwięki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przykłady źródeł dźwięku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wytwarzanie dźwięków w przedmiotach drgających i instrumentach muzycznych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wymienia, od jakich wielkości fizycznych zależy wysokość i głośność dźwięku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wyjaśnia, co nazywamy ultradźwiękami i infradźwiękami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opisuje mechanizm powstawania dźwięków w powietrzu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60" w:after="60"/>
              <w:ind w:hanging="0" w:left="17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cechy fali dźwiękowej (częstotliwość 20–20 000 Hz, fala podłużna)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występowanie w przyrodzie infradźwięków i ultradźwięków oraz ich zastosowanie </w:t>
            </w:r>
          </w:p>
        </w:tc>
      </w:tr>
    </w:tbl>
    <w:p>
      <w:pPr>
        <w:pStyle w:val="tytu03"/>
        <w:spacing w:before="0" w:after="120"/>
        <w:rPr>
          <w:rFonts w:ascii="Calibri" w:hAnsi="Calibri" w:asciiTheme="minorHAnsi" w:hAnsiTheme="minorHAnsi"/>
          <w:b w:val="false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b w:val="false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9. O elektryczności statycznej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>
          <w:trHeight w:val="1260" w:hRule="atLeast"/>
        </w:trPr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 xml:space="preserve">9.1. </w:t>
            </w:r>
            <w:r>
              <w:rPr>
                <w:rFonts w:ascii="Calibri" w:hAnsi="Calibri" w:asciiTheme="minorHAnsi" w:hAnsiTheme="minorHAnsi"/>
                <w:b w:val="false"/>
                <w:kern w:val="0"/>
                <w:lang w:val="pl-PL" w:bidi="ar-SA"/>
              </w:rPr>
              <w:t>Elektryzowanie ciała przez tarcie i dotyk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wskazuje w otoczeniu zjawiska elektryzowania przez tarcie i dotyk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demonstruje zjawisko elektryzowania przez tarcie i dotyk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budowę atomu i jego składniki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określa jednostkę ładunku (1 C) jako wielokrotność ładunku elementarnego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elektryzowanie przez tarcie i dotyk, analizuje przepływ elektronów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pojęcie jonu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 xml:space="preserve">9.2. </w:t>
            </w:r>
            <w:r>
              <w:rPr>
                <w:rFonts w:ascii="Calibri" w:hAnsi="Calibri" w:asciiTheme="minorHAnsi" w:hAnsiTheme="minorHAnsi"/>
                <w:b w:val="false"/>
                <w:kern w:val="0"/>
                <w:lang w:val="pl-PL" w:bidi="ar-SA"/>
              </w:rPr>
              <w:t>Siły wzajemnego oddziaływania ciał naelektryzowanych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17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bada jakościowo oddziaływanie między ciałami naelektryzowanymi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formułuje ogólne wnioski z badań nad oddziaływaniem ciał naelektryzowanych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 xml:space="preserve">9.3. </w:t>
            </w:r>
            <w:r>
              <w:rPr>
                <w:rFonts w:ascii="Calibri" w:hAnsi="Calibri" w:asciiTheme="minorHAnsi" w:hAnsiTheme="minorHAnsi"/>
                <w:b w:val="false"/>
                <w:kern w:val="0"/>
                <w:lang w:val="pl-PL" w:bidi="ar-SA"/>
              </w:rPr>
              <w:t>Przewodniki i izolatory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przykłady przewodników i izolatorów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budowę przewodników i izolatorów, wyjaśnia rolę elektronów swobodnych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wyjaśnia, jak rozmieszczony jest </w:t>
            </w:r>
            <w:r>
              <w:rPr>
                <w:b/>
                <w:kern w:val="0"/>
                <w:lang w:val="pl-PL" w:bidi="ar-SA"/>
              </w:rPr>
              <w:t>–</w:t>
            </w:r>
            <w:r>
              <w:rPr>
                <w:kern w:val="0"/>
                <w:lang w:val="pl-PL" w:bidi="ar-SA"/>
              </w:rPr>
              <w:t xml:space="preserve">uzyskany na skutek naelektryzowania </w:t>
            </w:r>
            <w:r>
              <w:rPr>
                <w:b/>
                <w:kern w:val="0"/>
                <w:lang w:val="pl-PL" w:bidi="ar-SA"/>
              </w:rPr>
              <w:t>–</w:t>
            </w:r>
            <w:r>
              <w:rPr>
                <w:kern w:val="0"/>
                <w:lang w:val="pl-PL" w:bidi="ar-SA"/>
              </w:rPr>
              <w:t xml:space="preserve"> ładunek w przewodniku, a jak w izolatorze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uziemianie ciał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mechanizm zobojętniania ciał naelektryzowanych (metali i izolatorów)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lang w:val="pl-PL" w:bidi="ar-SA"/>
              </w:rPr>
              <w:t>9.4. Zjawisko indukcji elektrostatycznej. Zasada zachowania ładunku. Zasada działania elektroskopu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elektryzowanie przez indukcję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budowę i zasadę działania elektroskopu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analizuje przepływ ładunków podczas elektryzowania przez tarcie i dotyk, stosując zasadę zachowania ładunku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na podstawie doświadczeń z elektroskopem formułuje i wyjaśnia zasadę zachowania ładunku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lang w:val="pl-PL" w:bidi="ar-SA"/>
              </w:rPr>
              <w:t>9.5. Pole elektryczne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17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posługuje się pojęciem pola elektrostatycznego do wyjaśnienia zachowania się nitek lub bibułek przymocowanych do naelektryzowanej kulki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rozróżnia pole centralne i jednorodne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oddziaływanie na odległość ciał naelektryzowanych z użyciem pojęcia pola elektrostatycznego </w:t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10. O prądzie elektrycznym</w:t>
      </w:r>
    </w:p>
    <w:tbl>
      <w:tblPr>
        <w:tblStyle w:val="Tabela-Siatka"/>
        <w:tblW w:w="14384" w:type="dxa"/>
        <w:jc w:val="left"/>
        <w:tblInd w:w="-80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10.1.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Prąd elektryczny w metalach. Napięcie elektryczne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przepływ prądu w przewodnikach jako ruch elektronów swobodnych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posługuje się intuicyjnie pojęciem napięcia elektrycznego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jednostkę napięcia (1 V)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wskazuje woltomierz jako przyrząd do pomiaru napięcia 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przemiany energii w przewodniku, między końcami którego wytworzono napięcie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zapisuje i wyjaśnia wzór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ind w:hanging="0" w:left="17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</w:r>
            <m:oMathPara xmlns:m="http://schemas.openxmlformats.org/officeDocument/2006/math">
              <m:oMathParaPr>
                <m:jc m:val="left"/>
              </m:oMathParaPr>
              <m:oMath>
                <m:sSub>
                  <m:e>
                    <m:r>
                      <w:rPr>
                        <w:rFonts w:ascii="Cambria Math" w:hAnsi="Cambria Math"/>
                      </w:rPr>
                      <m:t xml:space="preserve">U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 xml:space="preserve">AB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=</m:t>
                </m:r>
                <m:f>
                  <m:num>
                    <m:sSub>
                      <m:e>
                        <m:r>
                          <w:rPr>
                            <w:rFonts w:ascii="Cambria Math" w:hAnsi="Cambria Math"/>
                          </w:rPr>
                          <m:t xml:space="preserve">W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 xml:space="preserve">A</m:t>
                        </m:r>
                        <m:r>
                          <w:rPr>
                            <w:rFonts w:ascii="Cambria Math" w:hAnsi="Cambria Math"/>
                          </w:rPr>
                          <m:t xml:space="preserve">→</m:t>
                        </m:r>
                        <m:r>
                          <w:rPr>
                            <w:rFonts w:ascii="Cambria Math" w:hAnsi="Cambria Math"/>
                          </w:rPr>
                          <m:t xml:space="preserve">B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 xml:space="preserve">q</m:t>
                    </m:r>
                  </m:den>
                </m:f>
              </m:oMath>
            </m:oMathPara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wymienia i opisuje skutki przepływu prądu w przewodnikach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60" w:after="6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10.2.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Źródła napięcia. Obwód elektryczny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wymienia źródła napięcia: ogniwo, akumulator, prądnica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rysuje schemat prostego obwodu elektrycznego z użyciem symboli elementów wchodzących w jego skład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wskazuje kierunek przepływu elektronów w obwodzie i umowny kierunek prądu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łączy według podanego schematu obwód elektryczny składający się ze źródła napięcia, odbiornika, wyłącznika, woltomierza i amperomierza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mierzy napięcie na odbiorniku (6.9)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10.3.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Natężenie prądu elektrycznego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jednostkę natężenia prądu (1 A)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natężenie prądu ze wzoru </w:t>
            </w:r>
            <w:r>
              <w:rPr>
                <w:kern w:val="0"/>
                <w:lang w:val="pl-PL" w:bidi="ar-SA"/>
              </w:rPr>
              <w:object>
                <v:shapetype id="_x0000_tole_rId16" coordsize="21600,21600" o:spt="ole_rId1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6" type="_x0000_tole_rId16" style="width:23.75pt;height:25.3pt;mso-wrap-distance-right:0pt" filled="f" o:ole="">
                  <v:imagedata r:id="rId17" o:title=""/>
                </v:shape>
                <o:OLEObject Type="Embed" ProgID="Equation.DSMT4" ShapeID="ole_rId16" DrawAspect="Content" ObjectID="_1391919881" r:id="rId16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buduje prosty obwód prądu i mierzy natężenie prądu w tym obwodzie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objaśnia proporcjonalność </w:t>
            </w:r>
            <w:r>
              <w:rPr>
                <w:kern w:val="0"/>
                <w:lang w:val="pl-PL" w:bidi="ar-SA"/>
              </w:rPr>
              <w:object>
                <v:shapetype id="_x0000_tole_rId18" coordsize="21600,21600" o:spt="ole_rId1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8" type="_x0000_tole_rId18" style="width:21.35pt;height:11.85pt;mso-wrap-distance-right:0pt" filled="f" o:ole="">
                  <v:imagedata r:id="rId19" o:title=""/>
                </v:shape>
                <o:OLEObject Type="Embed" ProgID="Equation.DSMT4" ShapeID="ole_rId18" DrawAspect="Content" ObjectID="_1646438915" r:id="rId18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każdą wielkość ze wzoru </w:t>
            </w:r>
            <w:r>
              <w:rPr>
                <w:kern w:val="0"/>
                <w:lang w:val="pl-PL" w:bidi="ar-SA"/>
              </w:rPr>
              <w:object>
                <v:shapetype id="_x0000_tole_rId20" coordsize="21600,21600" o:spt="ole_rId2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0" type="_x0000_tole_rId20" style="width:23.75pt;height:25.3pt;mso-wrap-distance-right:0pt" filled="f" o:ole="">
                  <v:imagedata r:id="rId21" o:title=""/>
                </v:shape>
                <o:OLEObject Type="Embed" ProgID="Equation.DSMT4" ShapeID="ole_rId20" DrawAspect="Content" ObjectID="_1432452679" r:id="rId20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przelicza jednostki ładunku (1 C, 1 Ah, 1 As) 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10.4.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Prawo Ohma. Opór elektryczny przewodnika</w:t>
            </w:r>
          </w:p>
        </w:tc>
        <w:tc>
          <w:tcPr>
            <w:tcW w:w="3120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wyjaśnia, skąd się bierze opór przewodnika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jednostkę oporu elektrycznego </w:t>
            </w:r>
            <w:r>
              <w:rPr>
                <w:kern w:val="0"/>
                <w:lang w:val="pl-PL" w:bidi="ar-SA"/>
              </w:rPr>
              <w:object>
                <v:shapetype id="_x0000_tole_rId22" coordsize="21600,21600" o:spt="ole_rId2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2" type="_x0000_tole_rId22" style="width:21.35pt;height:13.45pt;mso-wrap-distance-right:0pt" filled="f" o:ole="">
                  <v:imagedata r:id="rId23" o:title=""/>
                </v:shape>
                <o:OLEObject Type="Embed" ProgID="Equation.DSMT4" ShapeID="ole_rId22" DrawAspect="Content" ObjectID="_1299541823" r:id="rId22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opór przewodnika ze wzoru </w:t>
            </w:r>
            <w:r>
              <w:rPr>
                <w:kern w:val="0"/>
                <w:lang w:val="pl-PL" w:bidi="ar-SA"/>
              </w:rPr>
              <w:object>
                <v:shapetype id="_x0000_tole_rId24" coordsize="21600,21600" o:spt="ole_rId2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4" type="_x0000_tole_rId24" style="width:27.7pt;height:25.3pt;mso-wrap-distance-right:0pt" filled="f" o:ole="">
                  <v:imagedata r:id="rId25" o:title=""/>
                </v:shape>
                <o:OLEObject Type="Embed" ProgID="Equation.DSMT4" ShapeID="ole_rId24" DrawAspect="Content" ObjectID="_2114937498" r:id="rId24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objaśnia zależność wyrażoną przez prawo Ohma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sporządza wykres zależności </w:t>
            </w:r>
            <w:r>
              <w:rPr>
                <w:i/>
                <w:kern w:val="0"/>
                <w:lang w:val="pl-PL" w:bidi="ar-SA"/>
              </w:rPr>
              <w:t>I</w:t>
            </w:r>
            <w:r>
              <w:rPr>
                <w:kern w:val="0"/>
                <w:lang w:val="pl-PL" w:bidi="ar-SA"/>
              </w:rPr>
              <w:t>(</w:t>
            </w:r>
            <w:r>
              <w:rPr>
                <w:i/>
                <w:kern w:val="0"/>
                <w:lang w:val="pl-PL" w:bidi="ar-SA"/>
              </w:rPr>
              <w:t>U</w:t>
            </w:r>
            <w:r>
              <w:rPr>
                <w:kern w:val="0"/>
                <w:lang w:val="pl-PL" w:bidi="ar-SA"/>
              </w:rPr>
              <w:t xml:space="preserve">)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wyznacza opór elektryczny przewodnika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oblicza każdą wielkość ze wzoru </w:t>
            </w:r>
            <w:r>
              <w:rPr>
                <w:kern w:val="0"/>
                <w:lang w:val="pl-PL" w:bidi="ar-SA"/>
              </w:rPr>
              <w:object>
                <v:shapetype id="_x0000_tole_rId26" coordsize="21600,21600" o:spt="ole_rId2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6" type="_x0000_tole_rId26" style="width:27.7pt;height:25.3pt;mso-wrap-distance-right:0pt" filled="f" o:ole="">
                  <v:imagedata r:id="rId27" o:title=""/>
                </v:shape>
                <o:OLEObject Type="Embed" ProgID="Equation.DSMT4" ShapeID="ole_rId26" DrawAspect="Content" ObjectID="_674922428" r:id="rId26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60" w:after="60"/>
              <w:jc w:val="left"/>
              <w:rPr>
                <w:rFonts w:ascii="Calibri" w:hAnsi="Calibri" w:asciiTheme="minorHAnsi" w:hAnsiTheme="minorHAnsi"/>
                <w:b w:val="false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10.5. Obwody elektryczne i ich schematy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posługuje się symbolami graficznymi elementów obwodów elektrycznych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rysuje schematy elektryczne prostych obwodów elektrycznych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łączy według podanego schematu prosty obwód elektryczny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10.6.</w:t>
            </w:r>
            <w:r>
              <w:rPr>
                <w:rFonts w:ascii="Calibri" w:hAnsi="Calibri" w:asciiTheme="minorHAnsi" w:hAnsiTheme="minorHAnsi"/>
                <w:b/>
                <w:kern w:val="0"/>
                <w:sz w:val="18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Rola izolacji elektrycznej i bezpieczników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*Fakultatywny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rolę izolacji elektrycznej przewodu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rolę bezpieczników w domowej instalacji elektrycznej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niebezpieczeństwa związane z używaniem prądu elektrycznego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budowę domowej sieci elektrycznej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równoległe połączenie odbiorników w sieci domowej 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10.7.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Praca i moc prądu elektrycznego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odczytuje dane znamionowe z tabliczki znamionowej odbiornika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odczytuje z licznika zużytą energię elektryczną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jednostki pracy oraz mocy prądu i je przelicza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przykłady pracy wykonanej przez prąd elektryczny 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pracę prądu elektrycznego ze wzoru </w:t>
            </w:r>
            <w:r>
              <w:rPr>
                <w:kern w:val="0"/>
                <w:lang w:val="pl-PL" w:bidi="ar-SA"/>
              </w:rPr>
              <w:object>
                <v:shapetype id="_x0000_tole_rId28" coordsize="21600,21600" o:spt="ole_rId2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8" type="_x0000_tole_rId28" style="width:33.25pt;height:11.85pt;mso-wrap-distance-right:0pt" filled="f" o:ole="">
                  <v:imagedata r:id="rId29" o:title=""/>
                </v:shape>
                <o:OLEObject Type="Embed" ProgID="Equation.DSMT4" ShapeID="ole_rId28" DrawAspect="Content" ObjectID="_1601776277" r:id="rId28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moc prądu ze wzoru </w:t>
            </w:r>
            <w:r>
              <w:rPr>
                <w:kern w:val="0"/>
                <w:lang w:val="pl-PL" w:bidi="ar-SA"/>
              </w:rPr>
              <w:object>
                <v:shapetype id="_x0000_tole_rId30" coordsize="21600,21600" o:spt="ole_rId3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0" type="_x0000_tole_rId30" style="width:30.85pt;height:11.85pt;mso-wrap-distance-right:0pt" filled="f" o:ole="">
                  <v:imagedata r:id="rId31" o:title=""/>
                </v:shape>
                <o:OLEObject Type="Embed" ProgID="Equation.DSMT4" ShapeID="ole_rId30" DrawAspect="Content" ObjectID="_794619264" r:id="rId30"/>
              </w:object>
            </w:r>
            <w:r>
              <w:rPr>
                <w:kern w:val="0"/>
                <w:lang w:val="pl-PL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przemiany energii elektrycznej w grzałce, silniku odkurzacza, żarówce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oblicza każdą z wielkości występujących we wzorach: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ind w:hanging="0" w:left="17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object>
                <v:shapetype id="_x0000_tole_rId32" coordsize="21600,21600" o:spt="ole_rId3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2" type="_x0000_tole_rId32" style="width:33.25pt;height:11.85pt;mso-wrap-distance-right:0pt" filled="f" o:ole="">
                  <v:imagedata r:id="rId33" o:title=""/>
                </v:shape>
                <o:OLEObject Type="Embed" ProgID="Equation.DSMT4" ShapeID="ole_rId32" DrawAspect="Content" ObjectID="_69052239" r:id="rId32"/>
              </w:object>
            </w:r>
            <w:r>
              <w:rPr>
                <w:kern w:val="0"/>
                <w:lang w:val="pl-PL" w:bidi="ar-SA"/>
              </w:rPr>
              <w:br/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W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sSup>
                    <m:e>
                      <m:r>
                        <w:rPr>
                          <w:rFonts w:ascii="Cambria Math" w:hAnsi="Cambria Math"/>
                        </w:rPr>
                        <m:t xml:space="preserve">U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 xml:space="preserve"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 xml:space="preserve">t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R</m:t>
                  </m:r>
                </m:den>
              </m:f>
            </m:oMath>
            <w:r>
              <w:rPr>
                <w:kern w:val="0"/>
                <w:lang w:val="pl-PL" w:bidi="ar-SA"/>
              </w:rPr>
              <w:br/>
            </w:r>
            <w:r>
              <w:rPr>
                <w:kern w:val="0"/>
                <w:lang w:val="pl-PL" w:bidi="ar-SA"/>
              </w:rPr>
              <w:object>
                <v:shapetype id="_x0000_tole_rId34" coordsize="21600,21600" o:spt="ole_rId3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4" type="_x0000_tole_rId34" style="width:38pt;height:12.65pt;mso-wrap-distance-right:0pt" filled="f" o:ole="">
                  <v:imagedata r:id="rId35" o:title=""/>
                </v:shape>
                <o:OLEObject Type="Embed" ProgID="Equation.DSMT4" ShapeID="ole_rId34" DrawAspect="Content" ObjectID="_1853178928" r:id="rId34"/>
              </w:objec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17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10.8. Zmiana energii elektrycznej w inne formy energii. Wyznaczanie ciepła właściwego wody za pomocą czajnika elektrycznego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wykonuje pomiary masy wody, temperatury i czasu ogrzewania wody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rodzaj energii, w jaki zmienia się w tym doświadczeniu energia elektryczna 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60" w:after="6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wykonuje obliczenia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60" w:after="60"/>
              <w:ind w:hanging="0" w:left="17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Theme="minorHAnsi" w:hAnsiTheme="minorHAnsi" w:ascii="Calibri" w:hAnsi="Calibri"/>
          <w:spacing w:val="-4"/>
          <w:szCs w:val="22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11. O zjawiskach magnetycznych</w:t>
      </w:r>
    </w:p>
    <w:tbl>
      <w:tblPr>
        <w:tblStyle w:val="Tabela-Siatka"/>
        <w:tblW w:w="14649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2172"/>
        <w:gridCol w:w="3120"/>
        <w:gridCol w:w="3119"/>
        <w:gridCol w:w="3119"/>
        <w:gridCol w:w="3119"/>
      </w:tblGrid>
      <w:tr>
        <w:trPr/>
        <w:tc>
          <w:tcPr>
            <w:tcW w:w="2172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2172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11.1.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Właściwości magnesów trwałych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nazwy biegunów magnetycznych i opisuje oddziaływania między nimi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i demonstruje zachowanie igły magnetycznej w pobliżu magnesu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opisuje sposób posługiwania się kompasem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pole magnetyczne Ziemi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oddziaływanie magnesu na żelazo i podaje przykłady wykorzystania tego oddziaływania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do opisu oddziaływania magnetycznego używa pojęcia pola magnetycznego </w:t>
            </w:r>
          </w:p>
        </w:tc>
      </w:tr>
      <w:tr>
        <w:trPr/>
        <w:tc>
          <w:tcPr>
            <w:tcW w:w="2172" w:type="dxa"/>
            <w:tcBorders/>
          </w:tcPr>
          <w:p>
            <w:pPr>
              <w:pStyle w:val="tabelabold"/>
              <w:widowControl/>
              <w:spacing w:before="60" w:after="60"/>
              <w:jc w:val="left"/>
              <w:rPr>
                <w:rFonts w:ascii="Calibri" w:hAnsi="Calibri" w:asciiTheme="minorHAnsi" w:hAnsiTheme="minorHAnsi"/>
                <w:b w:val="false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11.2. Przewodnik z prądem jako źródło pola magnetycznego.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Elektromagnes i jego zastosowania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budowę elektromagnesu  </w:t>
            </w:r>
            <w:r>
              <w:rPr>
                <w:kern w:val="0"/>
                <w:lang w:val="pl-PL" w:bidi="ar-SA"/>
              </w:rPr>
              <w:t>F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demonstruje działanie  elektromagnesu na znajdujące się w pobliżu przedmioty żelazne i magnesy </w:t>
            </w:r>
            <w:r>
              <w:rPr>
                <w:kern w:val="0"/>
                <w:lang w:val="pl-PL" w:bidi="ar-SA"/>
              </w:rPr>
              <w:t>F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oddziaływanie prostoliniowego przewodnika z prądem na igłę magnetyczną umieszczoną w pobliżu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rolę rdzenia w elektromagnesie </w:t>
            </w:r>
            <w:r>
              <w:rPr>
                <w:kern w:val="0"/>
                <w:lang w:val="pl-PL" w:bidi="ar-SA"/>
              </w:rPr>
              <w:t>F</w:t>
            </w:r>
            <w:r>
              <w:rPr>
                <w:kern w:val="0"/>
                <w:lang w:val="pl-PL" w:bidi="ar-SA"/>
              </w:rPr>
              <w:t xml:space="preserve">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wskazuje bieguny N i S elektromagnesu </w:t>
            </w:r>
            <w:r>
              <w:rPr>
                <w:kern w:val="0"/>
                <w:lang w:val="pl-PL" w:bidi="ar-SA"/>
              </w:rPr>
              <w:t>F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zachowanie igły magnetycznej z użyciem pojęcia pola magnetycznego wytworzonego przez prąd elektryczny </w:t>
            </w:r>
          </w:p>
        </w:tc>
      </w:tr>
      <w:tr>
        <w:trPr/>
        <w:tc>
          <w:tcPr>
            <w:tcW w:w="2172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11.5.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Fale elektromagnetyczne. Rodzaje i przykłady zastosowań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*Fakultatywny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nazywa rodzaje fal elektromagnetycznych  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przykłady zastosowania fal elektromagnetycznych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właściwości różnych rodzajów fal elektromagnetycznych (rozchodzenie się w próżni, szybkość rozchodzenia się, różne długości fali) 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analizuje teksty </w:t>
            </w:r>
            <w:r>
              <w:rPr>
                <w:kern w:val="0"/>
                <w:lang w:val="pl-PL" w:bidi="ar-SA"/>
              </w:rPr>
              <w:t>informacje</w:t>
            </w:r>
            <w:r>
              <w:rPr>
                <w:kern w:val="0"/>
                <w:lang w:val="pl-PL" w:bidi="ar-SA"/>
              </w:rPr>
              <w:t>, w tym popularnonaukowe, i przygotowuje wypowiedź pisemną lub ustną na temat zastosowań fal elektromagnetycznych (wym. ogólne IV)</w:t>
            </w:r>
          </w:p>
        </w:tc>
      </w:tr>
    </w:tbl>
    <w:p>
      <w:pPr>
        <w:pStyle w:val="tytu03"/>
        <w:spacing w:before="0" w:after="0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Theme="minorHAnsi" w:hAnsiTheme="minorHAnsi" w:ascii="Calibri" w:hAnsi="Calibri"/>
          <w:spacing w:val="-4"/>
          <w:szCs w:val="22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12. Optyka, czyli nauka o świetle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12.1.</w:t>
            </w: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b w:val="false"/>
                <w:kern w:val="0"/>
                <w:lang w:val="pl-PL" w:bidi="ar-SA"/>
              </w:rPr>
              <w:t>Źródła światła. Powstawanie cienia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przykłady źródeł światła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sposób wykazania, że światło rozchodzi się po liniach prostych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demonstruje prostoliniowe rozchodzenie się światła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powstawanie obszarów cienia i półcienia za pomocą prostoliniowego rozchodzenia się światła w ośrodku jednorodnym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60" w:after="60"/>
              <w:jc w:val="left"/>
              <w:rPr>
                <w:b w:val="false"/>
              </w:rPr>
            </w:pPr>
            <w:r>
              <w:rPr>
                <w:b w:val="false"/>
                <w:kern w:val="0"/>
                <w:lang w:val="pl-PL" w:bidi="ar-SA"/>
              </w:rPr>
              <w:t>12.2. Odbicie światła. Obrazy otrzymywane w zwierciadle płaskim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demonstruje powstawanie obrazów w zwierciadle płaskim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zjawisko odbicia światła od powierzchni gładkiej, wskazuje kąt padania i kąt odbicia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zjawisko rozproszenia światła na powierzchniach chropowatych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cechy obrazu otrzymanego w zwierciadle płaskim 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rysuje konstrukcyjnie obrazy otrzymywane w zwierciadle płaskim 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12.3.</w:t>
            </w:r>
            <w:r>
              <w:rPr>
                <w:b w:val="false"/>
                <w:kern w:val="0"/>
                <w:lang w:val="pl-PL" w:bidi="ar-SA"/>
              </w:rPr>
              <w:t xml:space="preserve"> Otrzymywanie obrazów w zwierciadłach kulistych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szkicuje zwierciadła kuliste wklęsłe i wypukłe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wskazuje oś optyczną główną, ognisko, ogniskową i promień krzywizny zwierciadła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wykreśla bieg wiązki promieni równoległych do osi optycznej po odbiciu od zwierciadła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podaje przykłady praktycznego zastosowania zwierciadeł 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na podstawie obserwacji powstawania obrazów  wymienia cechy obrazów otrzymywanych w zwierciadle kulistym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powstawanie obrazów w zwierciadłach wklęsłych i wypukłych 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40" w:after="60"/>
              <w:ind w:hanging="170" w:left="17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40" w:after="6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 xml:space="preserve">12.4. </w:t>
            </w:r>
            <w:r>
              <w:rPr>
                <w:b w:val="false"/>
                <w:kern w:val="0"/>
                <w:lang w:val="pl-PL" w:bidi="ar-SA"/>
              </w:rPr>
              <w:t>Załamanie światła na granicy dwóch ośrodków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demonstruje zjawisko załamania światła 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szkicuje przejście światła przez granicę dwóch ośrodków, wskazuje kąt padania i kąt załamania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wyjaśnia zależność zmiany biegu wiązki promienia przy przejściu przez granicę dwóch ośrodków od szybkości rozchodzenia się światła w tych ośrodkach 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b w:val="false"/>
                <w:kern w:val="0"/>
                <w:lang w:val="pl-PL" w:bidi="ar-SA"/>
              </w:rPr>
              <w:t>12.5. Przejście wiązki światła białego przez pryzmat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światło białe jako mieszaninę barw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rozpoznaje tęczę jako efekt rozszczepienia światła słonecznego 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rozszczepienie światła białego w pryzmacie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 pojęcie światła jednobarwnego (monochromatycznego) i prezentuje je za pomocą wskaźnika laserowego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4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wyjaśnia, na czym polega widzenie barwne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demonstruje rozszczepienie światła w pryzmacie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lineRule="auto" w:line="252" w:before="60" w:after="60"/>
              <w:ind w:hanging="0" w:left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Theme="minorHAnsi" w:hAnsiTheme="minorHAnsi" w:ascii="Calibri" w:hAnsi="Calibri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b w:val="false"/>
              </w:rPr>
            </w:pPr>
            <w:r>
              <w:rPr>
                <w:b w:val="false"/>
                <w:kern w:val="0"/>
                <w:lang w:val="pl-PL" w:bidi="ar-SA"/>
              </w:rPr>
              <w:t>12.6. Soczewki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bieg promieni równoległych do osi optycznej, przechodzących przez soczewkę skupiającą i rozpraszającą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posługuje się pojęciem ogniska, ogniskowej i osi optycznej 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doświadczalnie znajduje ognisko i mierzy ogniskową soczewki skupiającej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oblicza zdolność skupiającą soczewki ze wzoru </w:t>
            </w:r>
            <w:r>
              <w:rPr>
                <w:kern w:val="0"/>
                <w:lang w:val="pl-PL" w:bidi="ar-SA"/>
              </w:rPr>
              <w:object>
                <v:shapetype id="_x0000_tole_rId36" coordsize="21600,21600" o:spt="ole_rId3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6" type="_x0000_tole_rId36" style="width:26.9pt;height:26.1pt;mso-wrap-distance-right:0pt;mso-wrap-distance-bottom:1pt" filled="f" o:ole="">
                  <v:imagedata r:id="rId37" o:title=""/>
                </v:shape>
                <o:OLEObject Type="Embed" ProgID="Equation.DSMT4" ShapeID="ole_rId36" DrawAspect="Content" ObjectID="_1161013393" r:id="rId36"/>
              </w:object>
            </w:r>
            <w:r>
              <w:rPr>
                <w:kern w:val="0"/>
                <w:lang w:val="pl-PL" w:bidi="ar-SA"/>
              </w:rPr>
              <w:t xml:space="preserve"> i wyraża ją w dioptriach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lineRule="auto" w:line="252" w:before="60" w:after="60"/>
              <w:ind w:hanging="0" w:left="17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Theme="minorHAnsi" w:hAnsiTheme="minorHAnsi" w:ascii="Calibri" w:hAnsi="Calibri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b w:val="false"/>
              </w:rPr>
            </w:pPr>
            <w:r>
              <w:rPr>
                <w:b w:val="false"/>
                <w:kern w:val="0"/>
                <w:lang w:val="pl-PL" w:bidi="ar-SA"/>
              </w:rPr>
              <w:t>12.7. Obrazy otrzymywane za pomocą soczewek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wytwarza za pomocą soczewki skupiającej ostry obraz przedmiotu na ekranie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Theme="minorHAnsi" w:hAnsiTheme="minorHAnsi" w:ascii="Calibri" w:hAnsi="Calibri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na podstawie </w:t>
            </w:r>
            <w:r>
              <w:rPr>
                <w:kern w:val="0"/>
                <w:lang w:val="pl-PL" w:bidi="ar-SA"/>
              </w:rPr>
              <w:t>informacji</w:t>
            </w:r>
            <w:r>
              <w:rPr>
                <w:kern w:val="0"/>
                <w:lang w:val="pl-PL" w:bidi="ar-SA"/>
              </w:rPr>
              <w:t xml:space="preserve"> opisuje zasadę działania prostych przyrządów optycznych (wym. ogólne IV)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b w:val="false"/>
              </w:rPr>
            </w:pPr>
            <w:r>
              <w:rPr>
                <w:b w:val="false"/>
                <w:kern w:val="0"/>
                <w:lang w:val="pl-PL" w:bidi="ar-SA"/>
              </w:rPr>
              <w:t>12.8. Wady wzroku. Krótkowzroczność i dalekowzroczność</w:t>
            </w:r>
          </w:p>
          <w:p>
            <w:pPr>
              <w:pStyle w:val="tabelabold"/>
              <w:widowControl/>
              <w:spacing w:before="20" w:after="20"/>
              <w:jc w:val="left"/>
              <w:rPr>
                <w:b w:val="false"/>
              </w:rPr>
            </w:pPr>
            <w:r>
              <w:rPr>
                <w:b w:val="false"/>
                <w:kern w:val="0"/>
                <w:lang w:val="pl-PL" w:bidi="ar-SA"/>
              </w:rPr>
              <w:t>* Fakultatywny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Theme="minorHAnsi" w:hAnsiTheme="minorHAnsi" w:ascii="Calibri" w:hAnsi="Calibri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wyjaśnia, na czym polegają krótkowzroczność i dalekowzroczność 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rodzaje soczewek (skupiająca, rozpraszająca) do korygowania wad wzroku 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opisuje rolę soczewek w korygowaniu wad wzroku 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kern w:val="0"/>
                <w:lang w:val="pl-PL" w:bidi="ar-SA"/>
              </w:rPr>
              <w:t xml:space="preserve">podaje znak zdolności skupiającej soczewek korygujących krótkowzroczność i dalekowzroczność </w:t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60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60"/>
        <w:rPr>
          <w:rFonts w:ascii="Calibri" w:hAnsi="Calibri" w:asciiTheme="minorHAnsi" w:hAnsiTheme="minorHAnsi"/>
          <w:color w:themeColor="accent1" w:val="4F81BD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color w:themeColor="accent1" w:val="4F81BD"/>
          <w:spacing w:val="-4"/>
          <w:sz w:val="18"/>
          <w:szCs w:val="18"/>
        </w:rPr>
      </w:r>
    </w:p>
    <w:p>
      <w:pPr>
        <w:pStyle w:val="Normal"/>
        <w:ind w:left="142"/>
        <w:rPr>
          <w:rFonts w:ascii="Arial" w:hAnsi="Arial" w:cs="Arial"/>
          <w:color w:val="F09120"/>
        </w:rPr>
      </w:pPr>
      <w:r>
        <w:rPr>
          <w:rFonts w:cs="Arial" w:ascii="Arial" w:hAnsi="Arial"/>
          <w:color w:val="F09120"/>
        </w:rPr>
      </w:r>
    </w:p>
    <w:sectPr>
      <w:headerReference w:type="even" r:id="rId38"/>
      <w:headerReference w:type="default" r:id="rId39"/>
      <w:headerReference w:type="first" r:id="rId40"/>
      <w:footerReference w:type="even" r:id="rId41"/>
      <w:footerReference w:type="default" r:id="rId42"/>
      <w:footerReference w:type="first" r:id="rId43"/>
      <w:type w:val="nextPage"/>
      <w:pgSz w:orient="landscape" w:w="16838" w:h="11906"/>
      <w:pgMar w:left="1417" w:right="820" w:gutter="0" w:header="0" w:top="1560" w:footer="0" w:bottom="84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9072"/>
        <w:tab w:val="center" w:pos="4536" w:leader="none"/>
        <w:tab w:val="right" w:pos="9639" w:leader="none"/>
      </w:tabs>
      <w:spacing w:before="120" w:after="0"/>
      <w:ind w:left="-567"/>
      <w:rPr/>
    </w:pPr>
    <w:r>
      <mc:AlternateContent>
        <mc:Choice Requires="wps">
          <w:drawing>
            <wp:anchor behindDoc="1" distT="0" distB="19050" distL="0" distR="17780" simplePos="0" locked="0" layoutInCell="1" allowOverlap="1" relativeHeight="22" wp14:anchorId="2DF70B1F">
              <wp:simplePos x="0" y="0"/>
              <wp:positionH relativeFrom="column">
                <wp:posOffset>-331470</wp:posOffset>
              </wp:positionH>
              <wp:positionV relativeFrom="paragraph">
                <wp:posOffset>635</wp:posOffset>
              </wp:positionV>
              <wp:extent cx="9545320" cy="635"/>
              <wp:effectExtent l="9525" t="9525" r="10160" b="9525"/>
              <wp:wrapNone/>
              <wp:docPr id="5" name="Łącznik prostoliniow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19050">
                        <a:solidFill>
                          <a:srgbClr val="f0912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0.05pt" to="725.45pt,0.05pt" ID="Łącznik prostoliniowy 3" stroked="t" o:allowincell="f" style="position:absolute" wp14:anchorId="2DF70B1F">
              <v:stroke color="#f09120" weight="19080" joinstyle="round" endcap="flat"/>
              <v:fill o:detectmouseclick="t" on="false"/>
              <w10:wrap type="none"/>
            </v:line>
          </w:pict>
        </mc:Fallback>
      </mc:AlternateContent>
    </w:r>
    <w:r>
      <w:rPr>
        <w:b/>
        <w:color w:val="003892"/>
      </w:rPr>
      <w:t xml:space="preserve"> </w:t>
    </w:r>
    <w:r>
      <w:rPr>
        <w:b/>
        <w:color w:val="003892"/>
      </w:rPr>
      <w:t>AUTORZY:</w:t>
    </w:r>
    <w:r>
      <w:rPr>
        <w:color w:val="003892"/>
      </w:rPr>
      <w:t xml:space="preserve"> </w:t>
    </w:r>
    <w:r>
      <w:rPr/>
      <w:t>Barbara Sagnowska</w:t>
      <w:tab/>
      <w:tab/>
      <w:tab/>
      <w:tab/>
      <w:tab/>
    </w:r>
    <w:bookmarkStart w:id="0" w:name="_GoBack"/>
    <w:bookmarkEnd w:id="0"/>
    <w:r>
      <w:rPr/>
      <w:t>Przedmiotowy System Oceniania</w:t>
    </w:r>
  </w:p>
  <w:p>
    <w:pPr>
      <w:pStyle w:val="Footer"/>
      <w:tabs>
        <w:tab w:val="clear" w:pos="9072"/>
        <w:tab w:val="center" w:pos="4536" w:leader="none"/>
        <w:tab w:val="right" w:pos="9639" w:leader="none"/>
      </w:tabs>
      <w:ind w:left="-567" w:right="1"/>
      <w:rPr/>
    </w:pPr>
    <w:r>
      <w:rPr/>
      <mc:AlternateContent>
        <mc:Choice Requires="wps">
          <w:drawing>
            <wp:anchor behindDoc="1" distT="0" distB="19050" distL="0" distR="17780" simplePos="0" locked="0" layoutInCell="1" allowOverlap="1" relativeHeight="29" wp14:anchorId="2377F16B">
              <wp:simplePos x="0" y="0"/>
              <wp:positionH relativeFrom="column">
                <wp:posOffset>-331470</wp:posOffset>
              </wp:positionH>
              <wp:positionV relativeFrom="paragraph">
                <wp:posOffset>111125</wp:posOffset>
              </wp:positionV>
              <wp:extent cx="9545320" cy="635"/>
              <wp:effectExtent l="3175" t="3175" r="3810" b="3175"/>
              <wp:wrapNone/>
              <wp:docPr id="6" name="Łącznik prostoliniowy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635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8.75pt" to="725.45pt,8.75pt" ID="Łącznik prostoliniowy 5" stroked="t" o:allowincell="f" style="position:absolute" wp14:anchorId="2377F16B">
              <v:stroke color="black" weight="6480" joinstyle="round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  <w:drawing>
        <wp:inline distT="0" distB="0" distL="0" distR="0">
          <wp:extent cx="1555750" cy="296545"/>
          <wp:effectExtent l="0" t="0" r="0" b="0"/>
          <wp:docPr id="7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296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ab/>
      <w:tab/>
      <w:tab/>
      <w:tab/>
      <w:tab/>
      <w:tab/>
      <w:tab/>
      <w:tab/>
      <w:t xml:space="preserve">    </w:t>
      <w:tab/>
      <w:tab/>
      <w:tab/>
      <w:tab/>
      <w:t xml:space="preserve"> </w:t>
      <w:tab/>
      <w:t xml:space="preserve">          </w:t>
    </w:r>
    <w:r>
      <w:rPr/>
      <w:drawing>
        <wp:inline distT="0" distB="0" distL="0" distR="0">
          <wp:extent cx="2585720" cy="262890"/>
          <wp:effectExtent l="0" t="0" r="0" b="0"/>
          <wp:docPr id="8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303862" t="0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2585720" cy="262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ind w:left="-1417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9072"/>
        <w:tab w:val="center" w:pos="4536" w:leader="none"/>
        <w:tab w:val="right" w:pos="9639" w:leader="none"/>
      </w:tabs>
      <w:spacing w:before="120" w:after="0"/>
      <w:ind w:left="-567"/>
      <w:rPr/>
    </w:pPr>
    <w:r>
      <mc:AlternateContent>
        <mc:Choice Requires="wps">
          <w:drawing>
            <wp:anchor behindDoc="1" distT="0" distB="19050" distL="0" distR="17780" simplePos="0" locked="0" layoutInCell="1" allowOverlap="1" relativeHeight="22" wp14:anchorId="2DF70B1F">
              <wp:simplePos x="0" y="0"/>
              <wp:positionH relativeFrom="column">
                <wp:posOffset>-331470</wp:posOffset>
              </wp:positionH>
              <wp:positionV relativeFrom="paragraph">
                <wp:posOffset>635</wp:posOffset>
              </wp:positionV>
              <wp:extent cx="9545320" cy="635"/>
              <wp:effectExtent l="9525" t="9525" r="10160" b="9525"/>
              <wp:wrapNone/>
              <wp:docPr id="9" name="Łącznik prostoliniow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19050">
                        <a:solidFill>
                          <a:srgbClr val="f0912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0.05pt" to="725.45pt,0.05pt" ID="Łącznik prostoliniowy 3" stroked="t" o:allowincell="f" style="position:absolute" wp14:anchorId="2DF70B1F">
              <v:stroke color="#f09120" weight="19080" joinstyle="round" endcap="flat"/>
              <v:fill o:detectmouseclick="t" on="false"/>
              <w10:wrap type="none"/>
            </v:line>
          </w:pict>
        </mc:Fallback>
      </mc:AlternateContent>
    </w:r>
    <w:r>
      <w:rPr>
        <w:b/>
        <w:color w:val="003892"/>
      </w:rPr>
      <w:t xml:space="preserve"> </w:t>
    </w:r>
    <w:r>
      <w:rPr>
        <w:b/>
        <w:color w:val="003892"/>
      </w:rPr>
      <w:t>AUTORZY:</w:t>
    </w:r>
    <w:r>
      <w:rPr>
        <w:color w:val="003892"/>
      </w:rPr>
      <w:t xml:space="preserve"> </w:t>
    </w:r>
    <w:r>
      <w:rPr/>
      <w:t>Barbara Sagnowska</w:t>
      <w:tab/>
      <w:tab/>
      <w:tab/>
      <w:tab/>
      <w:tab/>
    </w:r>
    <w:bookmarkStart w:id="1" w:name="_GoBack"/>
    <w:bookmarkEnd w:id="1"/>
    <w:r>
      <w:rPr/>
      <w:t>Przedmiotowy System Oceniania</w:t>
    </w:r>
  </w:p>
  <w:p>
    <w:pPr>
      <w:pStyle w:val="Footer"/>
      <w:tabs>
        <w:tab w:val="clear" w:pos="9072"/>
        <w:tab w:val="center" w:pos="4536" w:leader="none"/>
        <w:tab w:val="right" w:pos="9639" w:leader="none"/>
      </w:tabs>
      <w:ind w:left="-567" w:right="1"/>
      <w:rPr/>
    </w:pPr>
    <w:r>
      <w:rPr/>
      <mc:AlternateContent>
        <mc:Choice Requires="wps">
          <w:drawing>
            <wp:anchor behindDoc="1" distT="0" distB="19050" distL="0" distR="17780" simplePos="0" locked="0" layoutInCell="1" allowOverlap="1" relativeHeight="29" wp14:anchorId="2377F16B">
              <wp:simplePos x="0" y="0"/>
              <wp:positionH relativeFrom="column">
                <wp:posOffset>-331470</wp:posOffset>
              </wp:positionH>
              <wp:positionV relativeFrom="paragraph">
                <wp:posOffset>111125</wp:posOffset>
              </wp:positionV>
              <wp:extent cx="9545320" cy="635"/>
              <wp:effectExtent l="3175" t="3175" r="3810" b="3175"/>
              <wp:wrapNone/>
              <wp:docPr id="10" name="Łącznik prostoliniowy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635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8.75pt" to="725.45pt,8.75pt" ID="Łącznik prostoliniowy 5" stroked="t" o:allowincell="f" style="position:absolute" wp14:anchorId="2377F16B">
              <v:stroke color="black" weight="6480" joinstyle="round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  <w:drawing>
        <wp:inline distT="0" distB="0" distL="0" distR="0">
          <wp:extent cx="1555750" cy="296545"/>
          <wp:effectExtent l="0" t="0" r="0" b="0"/>
          <wp:docPr id="11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296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ab/>
      <w:tab/>
      <w:tab/>
      <w:tab/>
      <w:tab/>
      <w:tab/>
      <w:tab/>
      <w:tab/>
      <w:t xml:space="preserve">    </w:t>
      <w:tab/>
      <w:tab/>
      <w:tab/>
      <w:tab/>
      <w:t xml:space="preserve"> </w:t>
      <w:tab/>
      <w:t xml:space="preserve">          </w:t>
    </w:r>
    <w:r>
      <w:rPr/>
      <w:drawing>
        <wp:inline distT="0" distB="0" distL="0" distR="0">
          <wp:extent cx="2585720" cy="262890"/>
          <wp:effectExtent l="0" t="0" r="0" b="0"/>
          <wp:docPr id="12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Obraz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303862" t="0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2585720" cy="262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ind w:left="-1417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9072"/>
        <w:tab w:val="center" w:pos="4536" w:leader="none"/>
      </w:tabs>
      <w:spacing w:before="0" w:after="40"/>
      <w:ind w:left="142" w:right="142"/>
      <w:rPr/>
    </w:pPr>
    <w:r>
      <w:rPr/>
      <w:drawing>
        <wp:anchor behindDoc="1" distT="0" distB="0" distL="0" distR="0" simplePos="0" locked="0" layoutInCell="1" allowOverlap="1" relativeHeight="8">
          <wp:simplePos x="0" y="0"/>
          <wp:positionH relativeFrom="column">
            <wp:posOffset>-899795</wp:posOffset>
          </wp:positionH>
          <wp:positionV relativeFrom="paragraph">
            <wp:posOffset>43815</wp:posOffset>
          </wp:positionV>
          <wp:extent cx="7591425" cy="954405"/>
          <wp:effectExtent l="0" t="0" r="0" b="0"/>
          <wp:wrapNone/>
          <wp:docPr id="1" name="Obraz 1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15">
          <wp:simplePos x="0" y="0"/>
          <wp:positionH relativeFrom="column">
            <wp:posOffset>5288915</wp:posOffset>
          </wp:positionH>
          <wp:positionV relativeFrom="paragraph">
            <wp:posOffset>36195</wp:posOffset>
          </wp:positionV>
          <wp:extent cx="3992245" cy="954405"/>
          <wp:effectExtent l="0" t="0" r="0" b="0"/>
          <wp:wrapNone/>
          <wp:docPr id="2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22758" t="0" r="24668" b="0"/>
                  <a:stretch>
                    <a:fillRect/>
                  </a:stretch>
                </pic:blipFill>
                <pic:spPr bwMode="auto">
                  <a:xfrm>
                    <a:off x="0" y="0"/>
                    <a:ext cx="399224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9072"/>
        <w:tab w:val="center" w:pos="4536" w:leader="none"/>
      </w:tabs>
      <w:ind w:left="142" w:right="-283"/>
      <w:rPr/>
    </w:pPr>
    <w:r>
      <w:rPr>
        <w:b/>
        <w:color w:val="F09120"/>
      </w:rPr>
      <w:t>Przedmiot</w:t>
    </w:r>
    <w:r>
      <w:rPr>
        <w:color w:val="F09120"/>
      </w:rPr>
      <w:t xml:space="preserve"> </w:t>
    </w:r>
    <w:r>
      <w:rPr/>
      <w:t>| Świat fizyki | Klasy 7</w:t>
      <w:softHyphen/>
      <w:t>–8</w:t>
      <w:tab/>
      <w:tab/>
      <w:tab/>
      <w:tab/>
      <w:tab/>
      <w:tab/>
      <w:tab/>
      <w:tab/>
      <w:tab/>
      <w:tab/>
      <w:tab/>
      <w:tab/>
      <w:tab/>
    </w:r>
    <w:r>
      <w:rPr>
        <w:i/>
      </w:rPr>
      <w:t>Szkoła podstawowa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9072"/>
        <w:tab w:val="center" w:pos="4536" w:leader="none"/>
      </w:tabs>
      <w:spacing w:before="0" w:after="40"/>
      <w:ind w:left="142" w:right="142"/>
      <w:rPr/>
    </w:pPr>
    <w:r>
      <w:rPr/>
      <w:drawing>
        <wp:anchor behindDoc="1" distT="0" distB="0" distL="0" distR="0" simplePos="0" locked="0" layoutInCell="1" allowOverlap="1" relativeHeight="8">
          <wp:simplePos x="0" y="0"/>
          <wp:positionH relativeFrom="column">
            <wp:posOffset>-899795</wp:posOffset>
          </wp:positionH>
          <wp:positionV relativeFrom="paragraph">
            <wp:posOffset>43815</wp:posOffset>
          </wp:positionV>
          <wp:extent cx="7591425" cy="954405"/>
          <wp:effectExtent l="0" t="0" r="0" b="0"/>
          <wp:wrapNone/>
          <wp:docPr id="3" name="Obraz 1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15">
          <wp:simplePos x="0" y="0"/>
          <wp:positionH relativeFrom="column">
            <wp:posOffset>5288915</wp:posOffset>
          </wp:positionH>
          <wp:positionV relativeFrom="paragraph">
            <wp:posOffset>36195</wp:posOffset>
          </wp:positionV>
          <wp:extent cx="3992245" cy="954405"/>
          <wp:effectExtent l="0" t="0" r="0" b="0"/>
          <wp:wrapNone/>
          <wp:docPr id="4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22758" t="0" r="24668" b="0"/>
                  <a:stretch>
                    <a:fillRect/>
                  </a:stretch>
                </pic:blipFill>
                <pic:spPr bwMode="auto">
                  <a:xfrm>
                    <a:off x="0" y="0"/>
                    <a:ext cx="399224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9072"/>
        <w:tab w:val="center" w:pos="4536" w:leader="none"/>
      </w:tabs>
      <w:ind w:left="142" w:right="-283"/>
      <w:rPr/>
    </w:pPr>
    <w:r>
      <w:rPr>
        <w:b/>
        <w:color w:val="F09120"/>
      </w:rPr>
      <w:t>Przedmiot</w:t>
    </w:r>
    <w:r>
      <w:rPr>
        <w:color w:val="F09120"/>
      </w:rPr>
      <w:t xml:space="preserve"> </w:t>
    </w:r>
    <w:r>
      <w:rPr/>
      <w:t>| Świat fizyki | Klasy 7</w:t>
      <w:softHyphen/>
      <w:t>–8</w:t>
      <w:tab/>
      <w:tab/>
      <w:tab/>
      <w:tab/>
      <w:tab/>
      <w:tab/>
      <w:tab/>
      <w:tab/>
      <w:tab/>
      <w:tab/>
      <w:tab/>
      <w:tab/>
      <w:tab/>
    </w:r>
    <w:r>
      <w:rPr>
        <w:i/>
      </w:rPr>
      <w:t>Szkoła podstawowa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5"/>
      <w:isLgl/>
      <w:numFmt w:val="decimal"/>
      <w:lvlText w:val="%1.%2."/>
      <w:lvlJc w:val="left"/>
      <w:pPr>
        <w:tabs>
          <w:tab w:val="num" w:pos="0"/>
        </w:tabs>
        <w:ind w:left="360" w:hanging="360"/>
      </w:pPr>
      <w:rPr/>
    </w:lvl>
    <w:lvl w:ilvl="2">
      <w:start w:val="1"/>
      <w:isLgl/>
      <w:numFmt w:val="decimal"/>
      <w:lvlText w:val="%1.%2.%3."/>
      <w:lvlJc w:val="left"/>
      <w:pPr>
        <w:tabs>
          <w:tab w:val="num" w:pos="0"/>
        </w:tabs>
        <w:ind w:left="720" w:hanging="720"/>
      </w:pPr>
      <w:rPr/>
    </w:lvl>
    <w:lvl w:ilvl="3">
      <w:start w:val="1"/>
      <w:isLgl/>
      <w:numFmt w:val="decimal"/>
      <w:lvlText w:val="%1.%2.%3.%4."/>
      <w:lvlJc w:val="left"/>
      <w:pPr>
        <w:tabs>
          <w:tab w:val="num" w:pos="0"/>
        </w:tabs>
        <w:ind w:left="720" w:hanging="720"/>
      </w:pPr>
      <w:rPr/>
    </w:lvl>
    <w:lvl w:ilvl="4">
      <w:start w:val="1"/>
      <w:isLgl/>
      <w:numFmt w:val="decimal"/>
      <w:lvlText w:val="%1.%2.%3.%4.%5."/>
      <w:lvlJc w:val="left"/>
      <w:pPr>
        <w:tabs>
          <w:tab w:val="num" w:pos="0"/>
        </w:tabs>
        <w:ind w:left="720" w:hanging="720"/>
      </w:pPr>
      <w:rPr/>
    </w:lvl>
    <w:lvl w:ilvl="5">
      <w:start w:val="1"/>
      <w:isLgl/>
      <w:numFmt w:val="decimal"/>
      <w:lvlText w:val="%1.%2.%3.%4.%5.%6."/>
      <w:lvlJc w:val="left"/>
      <w:pPr>
        <w:tabs>
          <w:tab w:val="num" w:pos="0"/>
        </w:tabs>
        <w:ind w:left="1080" w:hanging="1080"/>
      </w:pPr>
      <w:rPr/>
    </w:lvl>
    <w:lvl w:ilvl="6">
      <w:start w:val="1"/>
      <w:isLgl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/>
    </w:lvl>
    <w:lvl w:ilvl="7">
      <w:start w:val="1"/>
      <w:isLgl/>
      <w:numFmt w:val="decimal"/>
      <w:lvlText w:val="%1.%2.%3.%4.%5.%6.%7.%8."/>
      <w:lvlJc w:val="left"/>
      <w:pPr>
        <w:tabs>
          <w:tab w:val="num" w:pos="0"/>
        </w:tabs>
        <w:ind w:left="1080" w:hanging="1080"/>
      </w:pPr>
      <w:rPr/>
    </w:lvl>
    <w:lvl w:ilvl="8">
      <w:start w:val="1"/>
      <w:isLgl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2150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285d6f"/>
    <w:rPr/>
  </w:style>
  <w:style w:type="character" w:styleId="StopkaZnak" w:customStyle="1">
    <w:name w:val="Stopka Znak"/>
    <w:basedOn w:val="DefaultParagraphFont"/>
    <w:uiPriority w:val="99"/>
    <w:qFormat/>
    <w:rsid w:val="00285d6f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285d6f"/>
    <w:rPr>
      <w:rFonts w:ascii="Tahoma" w:hAnsi="Tahoma" w:cs="Tahoma"/>
      <w:sz w:val="16"/>
      <w:szCs w:val="16"/>
    </w:rPr>
  </w:style>
  <w:style w:type="character" w:styleId="tabelakropkaZnak" w:customStyle="1">
    <w:name w:val="tabela kropka Znak"/>
    <w:basedOn w:val="DefaultParagraphFont"/>
    <w:link w:val="tabelakropka"/>
    <w:qFormat/>
    <w:rsid w:val="0022150a"/>
    <w:rPr>
      <w:rFonts w:ascii="Times New Roman" w:hAnsi="Times New Roman" w:eastAsia="Times New Roman" w:cs="Times New Roman"/>
      <w:sz w:val="18"/>
      <w:szCs w:val="24"/>
      <w:lang w:eastAsia="pl-PL"/>
    </w:rPr>
  </w:style>
  <w:style w:type="character" w:styleId="tytu03Znak" w:customStyle="1">
    <w:name w:val="tytuł 03 Znak"/>
    <w:basedOn w:val="DefaultParagraphFont"/>
    <w:link w:val="tytu03"/>
    <w:qFormat/>
    <w:rsid w:val="0022150a"/>
    <w:rPr>
      <w:rFonts w:ascii="Times New Roman" w:hAnsi="Times New Roman" w:eastAsia="Times New Roman" w:cs="Times New Roman"/>
      <w:b/>
      <w:szCs w:val="24"/>
      <w:lang w:eastAsia="pl-PL"/>
    </w:rPr>
  </w:style>
  <w:style w:type="character" w:styleId="tabelaboldZnak" w:customStyle="1">
    <w:name w:val="tabela bold Znak"/>
    <w:basedOn w:val="DefaultParagraphFont"/>
    <w:link w:val="tabelabold"/>
    <w:qFormat/>
    <w:rsid w:val="0022150a"/>
    <w:rPr>
      <w:rFonts w:ascii="Times New Roman" w:hAnsi="Times New Roman" w:eastAsia="Times New Roman" w:cs="Times New Roman"/>
      <w:b/>
      <w:sz w:val="18"/>
      <w:szCs w:val="24"/>
      <w:lang w:eastAsia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285d6f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iPriority w:val="99"/>
    <w:unhideWhenUsed/>
    <w:rsid w:val="00285d6f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285d6f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5810"/>
    <w:pPr>
      <w:spacing w:before="0" w:after="0"/>
      <w:ind w:left="720"/>
      <w:contextualSpacing/>
    </w:pPr>
    <w:rPr/>
  </w:style>
  <w:style w:type="paragraph" w:styleId="tabelakropka" w:customStyle="1">
    <w:name w:val="tabela kropka"/>
    <w:basedOn w:val="Normal"/>
    <w:link w:val="tabelakropkaZnak"/>
    <w:qFormat/>
    <w:rsid w:val="0022150a"/>
    <w:pPr>
      <w:numPr>
        <w:ilvl w:val="0"/>
        <w:numId w:val="1"/>
      </w:numPr>
      <w:spacing w:before="60" w:after="60"/>
    </w:pPr>
    <w:rPr>
      <w:sz w:val="18"/>
    </w:rPr>
  </w:style>
  <w:style w:type="paragraph" w:styleId="tytu03" w:customStyle="1">
    <w:name w:val="tytuł 03"/>
    <w:basedOn w:val="Normal"/>
    <w:link w:val="tytu03Znak"/>
    <w:qFormat/>
    <w:rsid w:val="0022150a"/>
    <w:pPr>
      <w:spacing w:before="120" w:after="120"/>
    </w:pPr>
    <w:rPr>
      <w:b/>
      <w:sz w:val="22"/>
    </w:rPr>
  </w:style>
  <w:style w:type="paragraph" w:styleId="tabelabold" w:customStyle="1">
    <w:name w:val="tabela bold"/>
    <w:basedOn w:val="Normal"/>
    <w:link w:val="tabelaboldZnak"/>
    <w:qFormat/>
    <w:rsid w:val="0022150a"/>
    <w:pPr>
      <w:spacing w:before="60" w:after="60"/>
    </w:pPr>
    <w:rPr>
      <w:b/>
      <w:sz w:val="18"/>
    </w:rPr>
  </w:style>
  <w:style w:type="paragraph" w:styleId="tytu01" w:customStyle="1">
    <w:name w:val="tytuł 01"/>
    <w:basedOn w:val="Normal"/>
    <w:uiPriority w:val="99"/>
    <w:qFormat/>
    <w:rsid w:val="0022150a"/>
    <w:pPr>
      <w:spacing w:before="240" w:after="120"/>
    </w:pPr>
    <w:rPr>
      <w:b/>
      <w:sz w:val="32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6b581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wmf"/><Relationship Id="rId4" Type="http://schemas.openxmlformats.org/officeDocument/2006/relationships/oleObject" Target="embeddings/oleObject2.bin"/><Relationship Id="rId5" Type="http://schemas.openxmlformats.org/officeDocument/2006/relationships/image" Target="media/image2.wmf"/><Relationship Id="rId6" Type="http://schemas.openxmlformats.org/officeDocument/2006/relationships/oleObject" Target="embeddings/oleObject3.bin"/><Relationship Id="rId7" Type="http://schemas.openxmlformats.org/officeDocument/2006/relationships/image" Target="media/image3.wmf"/><Relationship Id="rId8" Type="http://schemas.openxmlformats.org/officeDocument/2006/relationships/oleObject" Target="embeddings/oleObject4.bin"/><Relationship Id="rId9" Type="http://schemas.openxmlformats.org/officeDocument/2006/relationships/image" Target="media/image3.wmf"/><Relationship Id="rId10" Type="http://schemas.openxmlformats.org/officeDocument/2006/relationships/oleObject" Target="embeddings/oleObject5.bin"/><Relationship Id="rId11" Type="http://schemas.openxmlformats.org/officeDocument/2006/relationships/image" Target="media/image4.wmf"/><Relationship Id="rId12" Type="http://schemas.openxmlformats.org/officeDocument/2006/relationships/oleObject" Target="embeddings/oleObject6.bin"/><Relationship Id="rId13" Type="http://schemas.openxmlformats.org/officeDocument/2006/relationships/image" Target="media/image5.wmf"/><Relationship Id="rId14" Type="http://schemas.openxmlformats.org/officeDocument/2006/relationships/oleObject" Target="embeddings/oleObject7.bin"/><Relationship Id="rId15" Type="http://schemas.openxmlformats.org/officeDocument/2006/relationships/image" Target="media/image6.wmf"/><Relationship Id="rId16" Type="http://schemas.openxmlformats.org/officeDocument/2006/relationships/oleObject" Target="embeddings/oleObject8.bin"/><Relationship Id="rId17" Type="http://schemas.openxmlformats.org/officeDocument/2006/relationships/image" Target="media/image7.wmf"/><Relationship Id="rId18" Type="http://schemas.openxmlformats.org/officeDocument/2006/relationships/oleObject" Target="embeddings/oleObject9.bin"/><Relationship Id="rId19" Type="http://schemas.openxmlformats.org/officeDocument/2006/relationships/image" Target="media/image8.wmf"/><Relationship Id="rId20" Type="http://schemas.openxmlformats.org/officeDocument/2006/relationships/oleObject" Target="embeddings/oleObject10.bin"/><Relationship Id="rId21" Type="http://schemas.openxmlformats.org/officeDocument/2006/relationships/image" Target="media/image7.wmf"/><Relationship Id="rId22" Type="http://schemas.openxmlformats.org/officeDocument/2006/relationships/oleObject" Target="embeddings/oleObject11.bin"/><Relationship Id="rId23" Type="http://schemas.openxmlformats.org/officeDocument/2006/relationships/image" Target="media/image9.wmf"/><Relationship Id="rId24" Type="http://schemas.openxmlformats.org/officeDocument/2006/relationships/oleObject" Target="embeddings/oleObject12.bin"/><Relationship Id="rId25" Type="http://schemas.openxmlformats.org/officeDocument/2006/relationships/image" Target="media/image10.wmf"/><Relationship Id="rId26" Type="http://schemas.openxmlformats.org/officeDocument/2006/relationships/oleObject" Target="embeddings/oleObject13.bin"/><Relationship Id="rId27" Type="http://schemas.openxmlformats.org/officeDocument/2006/relationships/image" Target="media/image10.wmf"/><Relationship Id="rId28" Type="http://schemas.openxmlformats.org/officeDocument/2006/relationships/oleObject" Target="embeddings/oleObject14.bin"/><Relationship Id="rId29" Type="http://schemas.openxmlformats.org/officeDocument/2006/relationships/image" Target="media/image11.wmf"/><Relationship Id="rId30" Type="http://schemas.openxmlformats.org/officeDocument/2006/relationships/oleObject" Target="embeddings/oleObject15.bin"/><Relationship Id="rId31" Type="http://schemas.openxmlformats.org/officeDocument/2006/relationships/image" Target="media/image12.wmf"/><Relationship Id="rId32" Type="http://schemas.openxmlformats.org/officeDocument/2006/relationships/oleObject" Target="embeddings/oleObject16.bin"/><Relationship Id="rId33" Type="http://schemas.openxmlformats.org/officeDocument/2006/relationships/image" Target="media/image13.wmf"/><Relationship Id="rId34" Type="http://schemas.openxmlformats.org/officeDocument/2006/relationships/oleObject" Target="embeddings/oleObject17.bin"/><Relationship Id="rId35" Type="http://schemas.openxmlformats.org/officeDocument/2006/relationships/image" Target="media/image14.wmf"/><Relationship Id="rId36" Type="http://schemas.openxmlformats.org/officeDocument/2006/relationships/oleObject" Target="embeddings/oleObject18.bin"/><Relationship Id="rId37" Type="http://schemas.openxmlformats.org/officeDocument/2006/relationships/image" Target="media/image15.wmf"/><Relationship Id="rId38" Type="http://schemas.openxmlformats.org/officeDocument/2006/relationships/header" Target="header1.xml"/><Relationship Id="rId39" Type="http://schemas.openxmlformats.org/officeDocument/2006/relationships/header" Target="header2.xml"/><Relationship Id="rId40" Type="http://schemas.openxmlformats.org/officeDocument/2006/relationships/header" Target="header3.xml"/><Relationship Id="rId41" Type="http://schemas.openxmlformats.org/officeDocument/2006/relationships/footer" Target="footer1.xml"/><Relationship Id="rId42" Type="http://schemas.openxmlformats.org/officeDocument/2006/relationships/footer" Target="footer2.xml"/><Relationship Id="rId43" Type="http://schemas.openxmlformats.org/officeDocument/2006/relationships/footer" Target="footer3.xml"/><Relationship Id="rId44" Type="http://schemas.openxmlformats.org/officeDocument/2006/relationships/numbering" Target="numbering.xml"/><Relationship Id="rId45" Type="http://schemas.openxmlformats.org/officeDocument/2006/relationships/fontTable" Target="fontTable.xml"/><Relationship Id="rId46" Type="http://schemas.openxmlformats.org/officeDocument/2006/relationships/settings" Target="settings.xml"/><Relationship Id="rId47" Type="http://schemas.openxmlformats.org/officeDocument/2006/relationships/theme" Target="theme/theme1.xml"/><Relationship Id="rId48" Type="http://schemas.openxmlformats.org/officeDocument/2006/relationships/customXml" Target="../customXml/item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17.wmf"/><Relationship Id="rId2" Type="http://schemas.openxmlformats.org/officeDocument/2006/relationships/image" Target="media/image18.tif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17.wmf"/><Relationship Id="rId2" Type="http://schemas.openxmlformats.org/officeDocument/2006/relationships/image" Target="media/image18.tif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6.png"/><Relationship Id="rId2" Type="http://schemas.openxmlformats.org/officeDocument/2006/relationships/image" Target="media/image16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6.png"/><Relationship Id="rId2" Type="http://schemas.openxmlformats.org/officeDocument/2006/relationships/image" Target="media/image16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867A8-1846-4B33-AC2A-112F95D6A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Application>LibreOffice/24.8.0.3$Windows_X86_64 LibreOffice_project/0bdf1299c94fe897b119f97f3c613e9dca6be583</Application>
  <AppVersion>15.0000</AppVersion>
  <Pages>7</Pages>
  <Words>1946</Words>
  <Characters>12636</Characters>
  <CharactersWithSpaces>14330</CharactersWithSpaces>
  <Paragraphs>302</Paragraphs>
  <Company>WSiP Sp. z o.o.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2015-05-26T09:01:00Z</dcterms:created>
  <dc:creator>Marta Jedlinska</dc:creator>
  <dc:description/>
  <dc:language>pl-PL</dc:language>
  <cp:lastModifiedBy/>
  <dcterms:modified xsi:type="dcterms:W3CDTF">2024-09-02T18:53:52Z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